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1" w:name="_GoBack"/>
      <w:r>
        <w:rPr>
          <w:rFonts w:ascii="Times New Roman" w:hAnsi="Times New Roman"/>
          <w:b w:val="1"/>
          <w:color w:val="000000"/>
          <w:sz w:val="28"/>
        </w:rPr>
        <w:t>План мероприятий</w:t>
      </w:r>
    </w:p>
    <w:p w14:paraId="02000000">
      <w:pPr>
        <w:spacing w:after="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 противодействию коррупционным и иным правонарушениям в муниципальном бюджетном учреждении «Комплексный центр социального обслуживания населения </w:t>
      </w:r>
      <w:r>
        <w:rPr>
          <w:rFonts w:ascii="Times New Roman" w:hAnsi="Times New Roman"/>
          <w:b w:val="1"/>
          <w:color w:val="000000"/>
          <w:sz w:val="28"/>
        </w:rPr>
        <w:t>Бековского</w:t>
      </w:r>
      <w:r>
        <w:rPr>
          <w:rFonts w:ascii="Times New Roman" w:hAnsi="Times New Roman"/>
          <w:b w:val="1"/>
          <w:color w:val="000000"/>
          <w:sz w:val="28"/>
        </w:rPr>
        <w:t xml:space="preserve"> района»</w:t>
      </w:r>
    </w:p>
    <w:p w14:paraId="03000000">
      <w:pPr>
        <w:spacing w:after="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на 2023</w:t>
      </w:r>
      <w:r>
        <w:rPr>
          <w:rFonts w:ascii="Times New Roman" w:hAnsi="Times New Roman"/>
          <w:b w:val="1"/>
          <w:color w:val="000000"/>
          <w:sz w:val="28"/>
        </w:rPr>
        <w:t> год.</w:t>
      </w:r>
      <w:bookmarkEnd w:id="1"/>
    </w:p>
    <w:p w14:paraId="04000000">
      <w:pPr>
        <w:spacing w:after="3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I. Введение</w:t>
      </w:r>
    </w:p>
    <w:p w14:paraId="05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Основанием для разработки Плана по противодействию коррупции в муниципальном бюджетном учреждении «Комплексный центр социального обслуживания населения </w:t>
      </w:r>
      <w:r>
        <w:rPr>
          <w:rFonts w:ascii="Times New Roman" w:hAnsi="Times New Roman"/>
          <w:color w:val="000000"/>
          <w:sz w:val="28"/>
        </w:rPr>
        <w:t>Бековского</w:t>
      </w:r>
      <w:r>
        <w:rPr>
          <w:rFonts w:ascii="Times New Roman" w:hAnsi="Times New Roman"/>
          <w:color w:val="000000"/>
          <w:sz w:val="28"/>
        </w:rPr>
        <w:t xml:space="preserve"> района»  (далее - План) является Федеральный закон от 25 декабря 2008 года № 273-ФЗ "О противодействии коррупции", Указ Президента Российской Федерации от 08.07.2013 года № 613 «Вопросы противодействия коррупции», Указ Президента Российской федерации от 19.05.2008 года № 815 «О мерах по противодействию коррупции».</w:t>
      </w:r>
    </w:p>
    <w:p w14:paraId="06000000">
      <w:pPr>
        <w:spacing w:after="3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II. Основные задачи Плана</w:t>
      </w:r>
    </w:p>
    <w:p w14:paraId="07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Задачами Плана являются:</w:t>
      </w:r>
    </w:p>
    <w:p w14:paraId="08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Предупреждение коррупционных правонарушений в муниципальном бюджетном учреждении «Комплексный центр социального обслуживания населения </w:t>
      </w:r>
      <w:r>
        <w:rPr>
          <w:rFonts w:ascii="Times New Roman" w:hAnsi="Times New Roman"/>
          <w:color w:val="000000"/>
          <w:sz w:val="28"/>
        </w:rPr>
        <w:t>Бековского</w:t>
      </w:r>
      <w:r>
        <w:rPr>
          <w:rFonts w:ascii="Times New Roman" w:hAnsi="Times New Roman"/>
          <w:color w:val="000000"/>
          <w:sz w:val="28"/>
        </w:rPr>
        <w:t xml:space="preserve"> района»  (далее Учреждении) путем создания условий, затрудняющих возможность коррупционного поведения.</w:t>
      </w:r>
    </w:p>
    <w:p w14:paraId="09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Исключение предпосылок к совершению коррупционных правонарушений в Учреждении.</w:t>
      </w:r>
    </w:p>
    <w:p w14:paraId="0A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Формирование нетерпимости к коррупционным правонарушениям в коллективе Учреждения.</w:t>
      </w:r>
    </w:p>
    <w:p w14:paraId="0B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Содействие реализации прав граждан при выполнении сотрудниками Учреждения своих должностных обязанностей.</w:t>
      </w:r>
    </w:p>
    <w:p w14:paraId="0C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Повышение ответственности директора Учреждения и руководителей структурных подразделений за предупреждение коррупционных правонарушений работниками при выполнении своих должностных обязанностей.</w:t>
      </w:r>
    </w:p>
    <w:p w14:paraId="0D000000">
      <w:pPr>
        <w:spacing w:after="0" w:before="30" w:line="30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Постоянный антикоррупционный мониторинг издаваемых в Учреждении распорядительных документов, регулирующих полномочия работников во взаимоотношениях с физическими и юридическими лицами, а также порядок и сроки реализации данных полномочий.</w:t>
      </w:r>
    </w:p>
    <w:p w14:paraId="0E000000">
      <w:pPr>
        <w:spacing w:after="3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III. Основные мероприятия Плана</w:t>
      </w:r>
    </w:p>
    <w:tbl>
      <w:tblPr>
        <w:tblStyle w:val="Style_1"/>
        <w:tblInd w:type="dxa" w:w="108"/>
        <w:tblLayout w:type="fixed"/>
        <w:tblCellMar>
          <w:left w:type="dxa" w:w="0"/>
          <w:right w:type="dxa" w:w="0"/>
        </w:tblCellMar>
      </w:tblPr>
      <w:tblGrid>
        <w:gridCol w:w="587"/>
        <w:gridCol w:w="4192"/>
        <w:gridCol w:w="2355"/>
        <w:gridCol w:w="83"/>
        <w:gridCol w:w="2246"/>
      </w:tblGrid>
      <w:tr>
        <w:tc>
          <w:tcPr>
            <w:tcW w:type="dxa" w:w="58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19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type="dxa" w:w="2355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  <w:p w14:paraId="13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исполнения</w:t>
            </w:r>
          </w:p>
          <w:p w14:paraId="1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2329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  <w:p w14:paraId="1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исполнители</w:t>
            </w:r>
          </w:p>
        </w:tc>
      </w:tr>
      <w:tr>
        <w:tc>
          <w:tcPr>
            <w:tcW w:type="dxa" w:w="9463"/>
            <w:gridSpan w:val="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numPr>
                <w:ilvl w:val="0"/>
                <w:numId w:val="1"/>
              </w:numPr>
              <w:spacing w:after="0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Меры, направленные на совершенствование функционирования Учреждения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плана мероприятий по противодействию </w:t>
            </w:r>
            <w:r>
              <w:rPr>
                <w:rFonts w:ascii="Times New Roman" w:hAnsi="Times New Roman"/>
                <w:sz w:val="28"/>
              </w:rPr>
              <w:t xml:space="preserve">коррупционным и иным правонарушениям в МБУ «КЦСОН </w:t>
            </w:r>
            <w:r>
              <w:rPr>
                <w:rFonts w:ascii="Times New Roman" w:hAnsi="Times New Roman"/>
                <w:sz w:val="28"/>
              </w:rPr>
              <w:t>Бековского</w:t>
            </w:r>
            <w:r>
              <w:rPr>
                <w:rFonts w:ascii="Times New Roman" w:hAnsi="Times New Roman"/>
                <w:sz w:val="28"/>
              </w:rPr>
              <w:t xml:space="preserve"> района»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финансово-хозяйственной деятельности Учреждения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экспертизы организационно-распорядительных документов Учреждения на </w:t>
            </w:r>
            <w:r>
              <w:rPr>
                <w:rFonts w:ascii="Times New Roman" w:hAnsi="Times New Roman"/>
                <w:sz w:val="28"/>
              </w:rPr>
              <w:t>коррупциогенность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2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3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регулярного контроля данных бухгалтерского учета, наличия и достоверности первичных документов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Поддержка, совершенствование Интернет - сайта Учреждения.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3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личных дел граждан, находящихся на обслуживании в Учреждении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  <w:p w14:paraId="3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заключении договоров на обслуживание, массовых перерасчетах, плановых, внеплановых  проверках)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3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Плана мероприятий по повышению эффективности и качества услуг в сфере социального обслуживания населения («дорожная карта»)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3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анализа должностных обязанностей, исполнение которых в наибольшей мере подвержено риску коррупционных </w:t>
            </w:r>
            <w:r>
              <w:rPr>
                <w:rFonts w:ascii="Times New Roman" w:hAnsi="Times New Roman"/>
                <w:sz w:val="28"/>
              </w:rPr>
              <w:t>проявлений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>
        <w:tc>
          <w:tcPr>
            <w:tcW w:type="dxa" w:w="9463"/>
            <w:gridSpan w:val="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 Меры, направленные на повышение профессионального уровня кадров и правовое просвещение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работников под роспись с содержанием законодательных актов в части наступления ответственности за нарушение антикоррупционного законодательства (путем предоставления текста этих правовых норм для прочтения под роспись в специальном журнале и вручения памятки с текстом этих правовых норм)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3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приеме на работу при заключении трудового договора</w:t>
            </w:r>
          </w:p>
          <w:p w14:paraId="4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 работниками Учреждения разъяснительной работы 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4A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в коллективе Учреждения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4F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положений Кодекса этики и служебного поведения работников Учреждения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Второе полугодие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работникам положений 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 а также при  приеме на работу при заключении трудового договора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5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5D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инструктивно-методических рекомендаций по организации антикоррупционной работы в Учреждении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Учреждения и информационных стендах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и использование опыта  других учреждений, органов исполнительной власти, министерств и ведомств по вопросам предупреждения коррупции в учреждении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6A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>
        <w:tc>
          <w:tcPr>
            <w:tcW w:type="dxa" w:w="9463"/>
            <w:gridSpan w:val="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 Меры, направленные на выявление случаев коррупционных проявлений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  анализа  нарушений работниками Учреждения правил внутреннего трудового распорядка, служебного поведения. Рассмотрение результатов  анализа  на собраниях коллектива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7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возможность получения информации от граждан, предприятий и организаций о фактах коррумпированности должностных лиц Учреждения на сайте Учреждения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14:paraId="7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заявлений и обращений граждан, поступающих на официальный сайт Учреждения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 лицо, ответственное за работу по профилактике коррупционных правонарушений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выявления в ходе </w:t>
            </w:r>
            <w:r>
              <w:rPr>
                <w:rFonts w:ascii="Times New Roman" w:hAnsi="Times New Roman"/>
                <w:sz w:val="28"/>
              </w:rPr>
              <w:t>работы деяний коррупционной направленности со стороны работников Учреждения проведение служебных  проверок, по результатам которых материалы при необходимости направлять в правоохранительные органы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</w:t>
            </w:r>
            <w:r>
              <w:rPr>
                <w:rFonts w:ascii="Times New Roman" w:hAnsi="Times New Roman"/>
                <w:sz w:val="28"/>
              </w:rPr>
              <w:t>выявления фактов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Оперативное информирование работников Учреждения о результатах служебных проверок, обстоятельствах совершения коррупционных правонарушений и принятых мерах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выявления фактов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>
        <w:tc>
          <w:tcPr>
            <w:tcW w:type="dxa" w:w="587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type="dxa" w:w="41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before="3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  контроля  в Учреждении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type="dxa" w:w="2438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2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86000000">
            <w:pPr>
              <w:spacing w:after="0" w:before="3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c>
          <w:tcPr>
            <w:tcW w:type="dxa" w:w="587"/>
            <w:tcBorders>
              <w:top w:sz="4" w:val="nil"/>
              <w:left w:sz="4" w:val="nil"/>
              <w:bottom w:sz="4" w:val="nil"/>
              <w:right w:sz="4" w:val="nil"/>
            </w:tcBorders>
            <w:shd w:fill="B0E4C9" w:val="clear"/>
            <w:tcMar>
              <w:left w:type="dxa" w:w="0"/>
              <w:right w:type="dxa" w:w="0"/>
            </w:tcMar>
            <w:vAlign w:val="center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92"/>
            <w:tcBorders>
              <w:top w:sz="4" w:val="nil"/>
              <w:left w:sz="4" w:val="nil"/>
              <w:bottom w:sz="4" w:val="nil"/>
              <w:right w:sz="4" w:val="nil"/>
            </w:tcBorders>
            <w:shd w:fill="B0E4C9" w:val="clear"/>
            <w:tcMar>
              <w:left w:type="dxa" w:w="0"/>
              <w:right w:type="dxa" w:w="0"/>
            </w:tcMar>
            <w:vAlign w:val="cente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55"/>
            <w:tcBorders>
              <w:top w:sz="4" w:val="nil"/>
              <w:left w:sz="4" w:val="nil"/>
              <w:bottom w:sz="4" w:val="nil"/>
              <w:right w:sz="4" w:val="nil"/>
            </w:tcBorders>
            <w:shd w:fill="B0E4C9" w:val="clear"/>
            <w:tcMar>
              <w:left w:type="dxa" w:w="0"/>
              <w:right w:type="dxa" w:w="0"/>
            </w:tcMar>
            <w:vAlign w:val="cente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shd w:fill="B0E4C9" w:val="clear"/>
            <w:tcMar>
              <w:left w:type="dxa" w:w="0"/>
              <w:right w:type="dxa" w:w="0"/>
            </w:tcMar>
            <w:vAlign w:val="center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sz="4" w:val="nil"/>
            </w:tcBorders>
            <w:shd w:fill="B0E4C9" w:val="clear"/>
            <w:tcMar>
              <w:left w:type="dxa" w:w="0"/>
              <w:right w:type="dxa" w:w="0"/>
            </w:tcMar>
            <w:vAlign w:val="cente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8C000000">
      <w:pPr>
        <w:spacing w:after="30" w:before="3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8D000000">
      <w:pPr>
        <w:spacing w:after="30" w:before="3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IV. Контроль реализации Плана</w:t>
      </w:r>
    </w:p>
    <w:p w14:paraId="8E000000">
      <w:pPr>
        <w:spacing w:after="30" w:before="3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над реализацией Плана осуществляет директор Учреждения.</w:t>
      </w:r>
    </w:p>
    <w:p w14:paraId="8F000000">
      <w:pPr>
        <w:spacing w:after="30" w:before="3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Исполнители мероприятий в установленные Планом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14:paraId="9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Normal (Web)"/>
    <w:basedOn w:val="Style_2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2_ch"/>
    <w:link w:val="Style_8"/>
    <w:rPr>
      <w:rFonts w:ascii="Times New Roman" w:hAnsi="Times New Roman"/>
      <w:sz w:val="24"/>
    </w:rPr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No Spacing"/>
    <w:basedOn w:val="Style_2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 Spacing"/>
    <w:basedOn w:val="Style_2_ch"/>
    <w:link w:val="Style_18"/>
    <w:rPr>
      <w:rFonts w:ascii="Times New Roman" w:hAnsi="Times New Roman"/>
      <w:sz w:val="24"/>
    </w:rPr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Balloon Text"/>
    <w:basedOn w:val="Style_2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2023-04-26T14:00:05Z</dcterms:modified>
</cp:coreProperties>
</file>